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pBdr/>
        <w:contextualSpacing w:val="0"/>
        <w:jc w:val="left"/>
        <w:rPr/>
      </w:pPr>
      <w:bookmarkStart w:colFirst="0" w:colLast="0" w:name="_gjdgxs" w:id="0"/>
      <w:bookmarkEnd w:id="0"/>
      <w:r w:rsidDel="00000000" w:rsidR="00000000" w:rsidRPr="00000000">
        <w:drawing>
          <wp:inline distB="0" distT="0" distL="0" distR="0">
            <wp:extent cx="1005840" cy="103655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36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-38099</wp:posOffset>
                </wp:positionV>
                <wp:extent cx="4889500" cy="96652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99980" y="3303750"/>
                          <a:ext cx="4892039" cy="952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WARRIOR RUN INTERNSHIP NETWORK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EMPLOYER SATISFACTION SURVEY 2016/17</w:t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1066800</wp:posOffset>
                </wp:positionH>
                <wp:positionV relativeFrom="paragraph">
                  <wp:posOffset>-38099</wp:posOffset>
                </wp:positionV>
                <wp:extent cx="4889500" cy="966529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0" cy="9665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spacing w:after="200" w:before="20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We are committed to monitoring and evaluating the quality and service we provide, as part of an ongoing improvement process. We would appreciate your feedback on our performance.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before="200" w:line="240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  <w:rtl w:val="0"/>
        </w:rPr>
        <w:t xml:space="preserve">For each item identified below, circle the number </w:t>
        <w:br w:type="textWrapping"/>
        <w:t xml:space="preserve">to the right that best fits your judgment. </w:t>
        <w:br w:type="textWrapping"/>
        <w:t xml:space="preserve">Use the rating scale to select the quality number.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279.999999999998" w:type="dxa"/>
        <w:jc w:val="center"/>
        <w:tblInd w:w="-144.0" w:type="dxa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6840"/>
        <w:gridCol w:w="504"/>
        <w:gridCol w:w="504"/>
        <w:gridCol w:w="504"/>
        <w:gridCol w:w="504"/>
        <w:gridCol w:w="409"/>
        <w:gridCol w:w="15"/>
        <w:tblGridChange w:id="0">
          <w:tblGrid>
            <w:gridCol w:w="6840"/>
            <w:gridCol w:w="504"/>
            <w:gridCol w:w="504"/>
            <w:gridCol w:w="504"/>
            <w:gridCol w:w="504"/>
            <w:gridCol w:w="409"/>
            <w:gridCol w:w="15"/>
          </w:tblGrid>
        </w:tblGridChange>
      </w:tblGrid>
      <w:tr>
        <w:trPr>
          <w:trHeight w:val="180" w:hRule="atLeast"/>
        </w:trPr>
        <w:tc>
          <w:tcPr>
            <w:vMerge w:val="restart"/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Survey Item</w:t>
            </w:r>
          </w:p>
        </w:tc>
        <w:tc>
          <w:tcPr>
            <w:gridSpan w:val="5"/>
            <w:tcBorders>
              <w:bottom w:color="7f7f7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Scale</w:t>
            </w:r>
          </w:p>
        </w:tc>
      </w:tr>
      <w:tr>
        <w:trPr>
          <w:trHeight w:val="180" w:hRule="atLeast"/>
        </w:trPr>
        <w:tc>
          <w:tcPr>
            <w:vMerge w:val="continue"/>
            <w:shd w:fill="d9d9d9"/>
            <w:vAlign w:val="center"/>
          </w:tcPr>
          <w:p w:rsidR="00000000" w:rsidDel="00000000" w:rsidP="00000000" w:rsidRDefault="00000000" w:rsidRPr="00000000">
            <w:pPr>
              <w:pStyle w:val="Heading2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4" w:val="single"/>
              <w:bottom w:color="7f7f7f" w:space="0" w:sz="4" w:val="single"/>
            </w:tcBorders>
            <w:shd w:fill="d9d9d9"/>
            <w:tcMar>
              <w:left w:w="173.0" w:type="dxa"/>
              <w:right w:w="173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3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Poor</w:t>
            </w:r>
          </w:p>
        </w:tc>
        <w:tc>
          <w:tcPr>
            <w:gridSpan w:val="3"/>
            <w:tcBorders>
              <w:top w:color="7f7f7f" w:space="0" w:sz="4" w:val="single"/>
              <w:bottom w:color="7f7f7f" w:space="0" w:sz="4" w:val="single"/>
            </w:tcBorders>
            <w:shd w:fill="d9d9d9"/>
            <w:vAlign w:val="center"/>
          </w:tcPr>
          <w:p w:rsidR="00000000" w:rsidDel="00000000" w:rsidP="00000000" w:rsidRDefault="00000000" w:rsidRPr="00000000">
            <w:pPr>
              <w:pStyle w:val="Heading3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Good</w:t>
            </w:r>
          </w:p>
        </w:tc>
        <w:tc>
          <w:tcPr>
            <w:gridSpan w:val="2"/>
            <w:tcBorders>
              <w:top w:color="7f7f7f" w:space="0" w:sz="4" w:val="single"/>
              <w:bottom w:color="7f7f7f" w:space="0" w:sz="4" w:val="single"/>
            </w:tcBorders>
            <w:shd w:fill="d9d9d9"/>
            <w:tcMar>
              <w:left w:w="202.0" w:type="dxa"/>
              <w:right w:w="202.0" w:type="dxa"/>
            </w:tcMar>
            <w:vAlign w:val="center"/>
          </w:tcPr>
          <w:p w:rsidR="00000000" w:rsidDel="00000000" w:rsidP="00000000" w:rsidRDefault="00000000" w:rsidRPr="00000000">
            <w:pPr>
              <w:pStyle w:val="Heading3"/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Excellent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Did we do a good job educating you about our services?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Have you had positive interactions with the Warrior run Internship supervisory staff?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Have you had productive interactions with the Warrior Run Internship Job Coaches?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Do Warrior Run Internship Job Coaches follow your workplace practices?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Do we do a good job providing supports/services to you as the employer?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Do you feel that the Warrior Run supervisory staff handled problems appropriately, when they arose?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Are supports/services provided at a time that is convenient to you?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Are you satisfied with the student/s that was placed with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Has the employee/s developed positive relationships with your other employees?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Do you feel that the Warrior Run staff checked on the student’s progress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ind w:left="432" w:firstLine="0"/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adequately?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432" w:hanging="432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Overall, how would you rate our services?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Employer Satisfaction Survey 2016/17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Short Answer: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What do you like best about our Work Internship Program?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Do you have any suggestions for improvements?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Tell us about your future employment needs/trends. What can we do to help meet those needs?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Would you be willing to place another Warrior Run student into your business for a work internship? </w:t>
        <w:br w:type="textWrapping"/>
      </w:r>
      <w:r w:rsidDel="00000000" w:rsidR="00000000" w:rsidRPr="00000000">
        <w:rPr>
          <w:b w:val="1"/>
          <w:rtl w:val="0"/>
        </w:rPr>
        <w:t xml:space="preserve">YES/NO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Thank you for your input which helps us to strive to exceed your expectations.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Please return this survey by mail in the enclosed self-addressed envelope to Cathy Grow Transition Coordinator Warrior Run Area School District.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720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680"/>
        <w:tab w:val="right" w:pos="9360"/>
      </w:tabs>
      <w:spacing w:after="0" w:before="72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432" w:firstLine="0"/>
      </w:pPr>
      <w:rPr>
        <w:rFonts w:ascii="Verdana" w:cs="Verdana" w:eastAsia="Verdana" w:hAnsi="Verdan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60" w:before="0" w:line="240" w:lineRule="auto"/>
      <w:jc w:val="center"/>
    </w:pPr>
    <w:rPr>
      <w:rFonts w:ascii="Cambria" w:cs="Cambria" w:eastAsia="Cambria" w:hAnsi="Cambria"/>
      <w:b w:val="0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Cambria" w:cs="Cambria" w:eastAsia="Cambria" w:hAnsi="Cambria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9.0" w:type="dxa"/>
        <w:left w:w="144.0" w:type="dxa"/>
        <w:bottom w:w="29.0" w:type="dxa"/>
        <w:right w:w="144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